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5C2B" w14:textId="77777777" w:rsidR="000B306D" w:rsidRPr="000B306D" w:rsidRDefault="000B306D" w:rsidP="000B306D">
      <w:pPr>
        <w:shd w:val="clear" w:color="auto" w:fill="A6C5E8"/>
        <w:spacing w:after="0" w:line="30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15151"/>
          <w:sz w:val="27"/>
          <w:szCs w:val="27"/>
          <w:lang w:eastAsia="es-MX"/>
        </w:rPr>
      </w:pPr>
      <w:r w:rsidRPr="000B306D">
        <w:rPr>
          <w:rFonts w:ascii="Trebuchet MS" w:eastAsia="Times New Roman" w:hAnsi="Trebuchet MS" w:cs="Times New Roman"/>
          <w:b/>
          <w:bCs/>
          <w:color w:val="515151"/>
          <w:sz w:val="27"/>
          <w:szCs w:val="27"/>
          <w:u w:val="single"/>
          <w:lang w:eastAsia="es-MX"/>
        </w:rPr>
        <w:t>ANTICIPOS DE SUELDO</w:t>
      </w:r>
    </w:p>
    <w:p w14:paraId="4C2CBA4F" w14:textId="77777777" w:rsidR="000B306D" w:rsidRPr="000B306D" w:rsidRDefault="000B306D" w:rsidP="000B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br/>
      </w:r>
    </w:p>
    <w:p w14:paraId="6AF4369F" w14:textId="77777777" w:rsidR="000B306D" w:rsidRPr="000B306D" w:rsidRDefault="000B306D" w:rsidP="000B306D">
      <w:pPr>
        <w:shd w:val="clear" w:color="auto" w:fill="A6C5E8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515151"/>
          <w:sz w:val="21"/>
          <w:szCs w:val="21"/>
          <w:lang w:eastAsia="es-MX"/>
        </w:rPr>
      </w:pPr>
      <w:r w:rsidRPr="000B306D">
        <w:rPr>
          <w:rFonts w:ascii="Trebuchet MS" w:eastAsia="Times New Roman" w:hAnsi="Trebuchet MS" w:cs="Times New Roman"/>
          <w:b/>
          <w:bCs/>
          <w:color w:val="515151"/>
          <w:sz w:val="21"/>
          <w:szCs w:val="21"/>
          <w:lang w:eastAsia="es-MX"/>
        </w:rPr>
        <w:t>REQUISITOS:</w:t>
      </w:r>
    </w:p>
    <w:p w14:paraId="35E06E5E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a)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 Llenar debidamente la solicitud sin tachaduras, ni enmendaduras </w:t>
      </w:r>
      <w:proofErr w:type="gram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en  tres</w:t>
      </w:r>
      <w:proofErr w:type="gram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tantos originales y con tinta azul.</w:t>
      </w:r>
    </w:p>
    <w:p w14:paraId="7DF6E8AE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b)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 El importe a cobrar será de un mes de sueldo tabular (En el talón de cheque revisar el rubro de sueldo, si cobrara en varias dependencias, sumar ese rubro y multiplicarlo por dos).</w:t>
      </w:r>
    </w:p>
    <w:p w14:paraId="044967EE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c)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 Firma de un aval que sea el mismo tipo de personal y de base, las firmas deben ser autógrafas (originales).</w:t>
      </w:r>
    </w:p>
    <w:p w14:paraId="0F24CDBC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d)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 Anexar fotocopia de último (s) talón (es) de cheque del interesado y del aval, </w:t>
      </w:r>
      <w:proofErr w:type="gram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de acuerdo al</w:t>
      </w:r>
      <w:proofErr w:type="gram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talón (es) de cheque será el importe a prestar.</w:t>
      </w:r>
    </w:p>
    <w:p w14:paraId="11F56896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e)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 Entregar la solicitud en la Secretaría del Interior y Previsión social del Comité Ejecutivo Regional a que corresponda.</w:t>
      </w:r>
    </w:p>
    <w:p w14:paraId="0EB9FA51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f)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 El tiempo a pagar será minino de 10 y máximo de 24 quincenas (Deberá indicarle de manera correcta la división </w:t>
      </w:r>
      <w:proofErr w:type="gram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de acuerdo al</w:t>
      </w:r>
      <w:proofErr w:type="gram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</w:t>
      </w:r>
      <w:proofErr w:type="spell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numero</w:t>
      </w:r>
      <w:proofErr w:type="spell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de quincenas en que elija pagarlo).</w:t>
      </w:r>
    </w:p>
    <w:p w14:paraId="0FC4B545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g)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 Los maestros y técnicos académicos que solo laboran un semestre, tendrán derecho al préstamo siempre que lo liquiden dentro del semestre en que se encuentren presentando el servicio.</w:t>
      </w:r>
    </w:p>
    <w:p w14:paraId="086AC241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h) 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Los recuadros de puesto y categoría deberán ser llenados </w:t>
      </w:r>
      <w:proofErr w:type="gram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de acuerdo a</w:t>
      </w:r>
      <w:proofErr w:type="gram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las descripciones de las claves que aparecen en la siguiente tabla:  </w:t>
      </w:r>
      <w:hyperlink r:id="rId5" w:history="1">
        <w:r w:rsidRPr="000B306D">
          <w:rPr>
            <w:rFonts w:ascii="Lucida Sans Unicode" w:eastAsia="Times New Roman" w:hAnsi="Lucida Sans Unicode" w:cs="Lucida Sans Unicode"/>
            <w:b/>
            <w:bCs/>
            <w:color w:val="666666"/>
            <w:sz w:val="18"/>
            <w:szCs w:val="18"/>
            <w:u w:val="single"/>
            <w:lang w:eastAsia="es-MX"/>
          </w:rPr>
          <w:t>Ver Tabla de claves</w:t>
        </w:r>
      </w:hyperlink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.</w:t>
      </w:r>
    </w:p>
    <w:p w14:paraId="02AAF535" w14:textId="77777777" w:rsidR="000B306D" w:rsidRPr="000B306D" w:rsidRDefault="000B306D" w:rsidP="000B306D">
      <w:pPr>
        <w:shd w:val="clear" w:color="auto" w:fill="A6C5E8"/>
        <w:spacing w:before="75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b/>
          <w:bCs/>
          <w:color w:val="515151"/>
          <w:sz w:val="18"/>
          <w:szCs w:val="18"/>
          <w:lang w:eastAsia="es-MX"/>
        </w:rPr>
        <w:t>i)</w:t>
      </w: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 Tanto el llenado del formato como las firmas deberán ser con tinta azul.</w:t>
      </w:r>
    </w:p>
    <w:p w14:paraId="738DB191" w14:textId="77777777" w:rsidR="000B306D" w:rsidRPr="000B306D" w:rsidRDefault="000B306D" w:rsidP="000B306D">
      <w:pPr>
        <w:shd w:val="clear" w:color="auto" w:fill="A6C5E8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515151"/>
          <w:sz w:val="21"/>
          <w:szCs w:val="21"/>
          <w:lang w:eastAsia="es-MX"/>
        </w:rPr>
      </w:pPr>
      <w:r w:rsidRPr="000B306D">
        <w:rPr>
          <w:rFonts w:ascii="Trebuchet MS" w:eastAsia="Times New Roman" w:hAnsi="Trebuchet MS" w:cs="Times New Roman"/>
          <w:b/>
          <w:bCs/>
          <w:color w:val="515151"/>
          <w:sz w:val="21"/>
          <w:szCs w:val="21"/>
          <w:lang w:eastAsia="es-MX"/>
        </w:rPr>
        <w:t>CAUSAS DE DEVOLUCIÓN:</w:t>
      </w:r>
    </w:p>
    <w:p w14:paraId="1DE1F42D" w14:textId="77777777" w:rsidR="000B306D" w:rsidRPr="000B306D" w:rsidRDefault="000B306D" w:rsidP="000B306D">
      <w:pPr>
        <w:numPr>
          <w:ilvl w:val="0"/>
          <w:numId w:val="1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Si el interesado tiene adeudos de préstamo anterior.</w:t>
      </w:r>
    </w:p>
    <w:p w14:paraId="00612D81" w14:textId="77777777" w:rsidR="000B306D" w:rsidRPr="000B306D" w:rsidRDefault="000B306D" w:rsidP="000B306D">
      <w:pPr>
        <w:numPr>
          <w:ilvl w:val="0"/>
          <w:numId w:val="1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Si el aval no es de base.</w:t>
      </w:r>
    </w:p>
    <w:p w14:paraId="2B1B6875" w14:textId="77777777" w:rsidR="000B306D" w:rsidRPr="000B306D" w:rsidRDefault="000B306D" w:rsidP="000B306D">
      <w:pPr>
        <w:numPr>
          <w:ilvl w:val="0"/>
          <w:numId w:val="1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Si el solicitante está fuera de servicio.</w:t>
      </w:r>
    </w:p>
    <w:p w14:paraId="55832BFE" w14:textId="77777777" w:rsidR="000B306D" w:rsidRPr="000B306D" w:rsidRDefault="000B306D" w:rsidP="000B306D">
      <w:pPr>
        <w:numPr>
          <w:ilvl w:val="0"/>
          <w:numId w:val="1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Si las firmas no son autógrafas (originales).</w:t>
      </w:r>
    </w:p>
    <w:p w14:paraId="243B8F2F" w14:textId="77777777" w:rsidR="000B306D" w:rsidRPr="000B306D" w:rsidRDefault="000B306D" w:rsidP="000B306D">
      <w:pPr>
        <w:numPr>
          <w:ilvl w:val="0"/>
          <w:numId w:val="1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Si no anexan las copias recientes del talón de cheque.</w:t>
      </w:r>
    </w:p>
    <w:p w14:paraId="1BF0C4BC" w14:textId="77777777" w:rsidR="000B306D" w:rsidRPr="000B306D" w:rsidRDefault="000B306D" w:rsidP="000B306D">
      <w:pPr>
        <w:numPr>
          <w:ilvl w:val="0"/>
          <w:numId w:val="1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Si la suma del préstamo a otorgar no coincide con los talones de cheque o si la división del </w:t>
      </w:r>
      <w:proofErr w:type="spell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numero</w:t>
      </w:r>
      <w:proofErr w:type="spell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quincenal a pagar es erróneo.</w:t>
      </w:r>
    </w:p>
    <w:p w14:paraId="7EB81EC9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El préstamo se otorgará </w:t>
      </w:r>
      <w:proofErr w:type="gram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de acuerdo a</w:t>
      </w:r>
      <w:proofErr w:type="gram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la cuota del mes que corresponda en la fecha de ingreso a la Secretaría del Interior y Previsión Social del Comité Ejecutivo Estatal, por ser la cuota de 20 </w:t>
      </w:r>
      <w:proofErr w:type="spellStart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prestamos</w:t>
      </w:r>
      <w:proofErr w:type="spellEnd"/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 xml:space="preserve"> por mes, ésta es una prestación que se satura rápidamente ocasionando que se tenga que esperar turno.</w:t>
      </w:r>
    </w:p>
    <w:p w14:paraId="7881F196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Se han detectado algunas irregularidades por no cumplir con requisitos que se indican en el contenido del formato respectivo.</w:t>
      </w:r>
    </w:p>
    <w:p w14:paraId="2C1E0F57" w14:textId="77777777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Enseguida le señalo algunos casos, como ejemplo evidente en los que se han observado con más frecuencia:</w:t>
      </w:r>
    </w:p>
    <w:p w14:paraId="183F3C39" w14:textId="77777777" w:rsidR="000B306D" w:rsidRPr="000B306D" w:rsidRDefault="000B306D" w:rsidP="000B306D">
      <w:pPr>
        <w:numPr>
          <w:ilvl w:val="0"/>
          <w:numId w:val="2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lastRenderedPageBreak/>
        <w:t>No coinciden los datos del talón de cheque que anexan con lo insertado en su formato.</w:t>
      </w:r>
    </w:p>
    <w:p w14:paraId="4CF61259" w14:textId="77777777" w:rsidR="000B306D" w:rsidRPr="000B306D" w:rsidRDefault="000B306D" w:rsidP="000B306D">
      <w:pPr>
        <w:numPr>
          <w:ilvl w:val="0"/>
          <w:numId w:val="2"/>
        </w:numPr>
        <w:shd w:val="clear" w:color="auto" w:fill="A6C5E8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r w:rsidRPr="000B306D"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  <w:t>También en algunos formatos omiten el llenado del recuadro del CURP.</w:t>
      </w:r>
    </w:p>
    <w:p w14:paraId="172AD0A7" w14:textId="3E6107AC" w:rsidR="000B306D" w:rsidRPr="000B306D" w:rsidRDefault="000B306D" w:rsidP="000B306D">
      <w:pPr>
        <w:shd w:val="clear" w:color="auto" w:fill="A6C5E8"/>
        <w:spacing w:before="75" w:after="15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es-MX"/>
        </w:rPr>
      </w:pPr>
      <w:hyperlink r:id="rId6" w:history="1">
        <w:r w:rsidRPr="000B306D">
          <w:rPr>
            <w:rFonts w:ascii="Lucida Sans Unicode" w:eastAsia="Times New Roman" w:hAnsi="Lucida Sans Unicode" w:cs="Lucida Sans Unicode"/>
            <w:noProof/>
            <w:color w:val="006699"/>
            <w:sz w:val="18"/>
            <w:szCs w:val="18"/>
            <w:lang w:eastAsia="es-MX"/>
          </w:rPr>
          <w:drawing>
            <wp:inline distT="0" distB="0" distL="0" distR="0" wp14:anchorId="3E47979E" wp14:editId="7B1A6351">
              <wp:extent cx="152400" cy="152400"/>
              <wp:effectExtent l="0" t="0" r="0" b="0"/>
              <wp:docPr id="1" name="Imagen 1" descr="mac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B306D">
          <w:rPr>
            <w:rFonts w:ascii="Lucida Sans Unicode" w:eastAsia="Times New Roman" w:hAnsi="Lucida Sans Unicode" w:cs="Lucida Sans Unicode"/>
            <w:color w:val="006699"/>
            <w:sz w:val="18"/>
            <w:szCs w:val="18"/>
            <w:u w:val="single"/>
            <w:lang w:eastAsia="es-MX"/>
          </w:rPr>
          <w:t>Formato de Anticipo de sueldo y su forma de Llenado.</w:t>
        </w:r>
      </w:hyperlink>
    </w:p>
    <w:p w14:paraId="0F47973C" w14:textId="77777777" w:rsidR="000B306D" w:rsidRDefault="000B306D"/>
    <w:sectPr w:rsidR="000B3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796"/>
    <w:multiLevelType w:val="multilevel"/>
    <w:tmpl w:val="4082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75102"/>
    <w:multiLevelType w:val="multilevel"/>
    <w:tmpl w:val="15DCE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6D"/>
    <w:rsid w:val="000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E3A9"/>
  <w15:chartTrackingRefBased/>
  <w15:docId w15:val="{93063C93-E6E7-4EE0-AEF4-3F509DF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0B30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306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B306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B30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B3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2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auvxalapa.org/prestaciones/descargar/anticipo_sueldo_arh-p-f-23_nuevo.zip" TargetMode="External"/><Relationship Id="rId5" Type="http://schemas.openxmlformats.org/officeDocument/2006/relationships/hyperlink" Target="http://www.fesapauvxalapa.org/prestaciones/tablaClave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Dominguez Armando</dc:creator>
  <cp:keywords/>
  <dc:description/>
  <cp:lastModifiedBy>Campos Dominguez Armando</cp:lastModifiedBy>
  <cp:revision>1</cp:revision>
  <dcterms:created xsi:type="dcterms:W3CDTF">2021-08-26T23:43:00Z</dcterms:created>
  <dcterms:modified xsi:type="dcterms:W3CDTF">2021-08-26T23:44:00Z</dcterms:modified>
</cp:coreProperties>
</file>